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БЕБЕНИНОЙ МАРИИ ВИКТОРОВНЫ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Современный подход к рассмотрению спортивной нагрузки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Краснодар 2017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935"/>
        <w:gridCol w:w="636"/>
      </w:tblGrid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1. 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before="0" w:after="0" w:line="360"/>
              <w:ind w:right="0" w:left="720" w:hanging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понятия, классификация и компоненты соревновательных нагрузок…………………………………......................................4</w:t>
            </w:r>
          </w:p>
          <w:p>
            <w:pPr>
              <w:numPr>
                <w:ilvl w:val="0"/>
                <w:numId w:val="15"/>
              </w:numPr>
              <w:spacing w:before="0" w:after="0" w:line="360"/>
              <w:ind w:right="0" w:left="720" w:hanging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Оценка величины нагрузки и основные подходы 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рассмотрению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этой проблемы. ………………..………………………................7</w:t>
            </w:r>
          </w:p>
          <w:p>
            <w:pPr>
              <w:numPr>
                <w:ilvl w:val="0"/>
                <w:numId w:val="15"/>
              </w:numPr>
              <w:spacing w:before="0" w:after="0" w:line="360"/>
              <w:ind w:right="0" w:left="720" w:hanging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Проявление спортивной нагрузки в гандболе……..........................9</w:t>
            </w:r>
          </w:p>
          <w:p>
            <w:pPr>
              <w:spacing w:before="0" w:after="0" w:line="360"/>
              <w:ind w:right="0" w:left="45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ВЫВОДЫ</w:t>
            </w:r>
          </w:p>
          <w:p>
            <w:pPr>
              <w:spacing w:before="0" w:after="0" w:line="360"/>
              <w:ind w:right="0" w:left="45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  <w:p>
            <w:pPr>
              <w:spacing w:before="0" w:after="0" w:line="360"/>
              <w:ind w:right="0" w:left="45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Спортивная нагрузка в литературных источниках представлена рядом публикаций (Смирнова О.Б., Фомина Е.В., Шафикова Л.Р. и др.), которые зачастую совершенно по-разному подходят к рассмотрению одних и тех же вопросов. Это затрудняет обзор и трактовку тех или иных понятий, но в ряде случаев, наоборот, позволяет более широко взглянуть на некоторые предметы [10,8].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Проблема спортивной нагрузки находится в таком положении, когда, с одной стороны, уже накоплено большое количество фактического материала по отдельным вопросам и аспектам, и информация по ним продолжает лавинообразно нарастать, а с другой стороны, несмотря на наличие этого фактического материала, его все труднее становится систематизировать и обобщать, а, следовательно, и полноценно использовать в практике спортивной подготовки квалифицированных спортсменов [6,7,3].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всестороннее рассмотрение спортивной нагрузки и ее особенностей в гандболе.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исследования:</w:t>
      </w:r>
    </w:p>
    <w:p>
      <w:pPr>
        <w:numPr>
          <w:ilvl w:val="0"/>
          <w:numId w:val="37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представление об основных понятиях и компонентах спортивной нагрузки.</w:t>
      </w:r>
    </w:p>
    <w:p>
      <w:pPr>
        <w:numPr>
          <w:ilvl w:val="0"/>
          <w:numId w:val="37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особенности спортивной нагрузки в гандболе на основе литературных данных.</w:t>
      </w:r>
    </w:p>
    <w:p>
      <w:pPr>
        <w:numPr>
          <w:ilvl w:val="0"/>
          <w:numId w:val="37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основные подходы, используемые специалистами при рассмотрении данной проблемы.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исследования и реализации поставленных задач был использован следующий метод:</w:t>
      </w:r>
    </w:p>
    <w:p>
      <w:pPr>
        <w:numPr>
          <w:ilvl w:val="0"/>
          <w:numId w:val="39"/>
        </w:numPr>
        <w:spacing w:before="0" w:after="160" w:line="360"/>
        <w:ind w:right="0" w:left="720" w:firstLine="1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анализа научно-методической литературы.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1</w:t>
      </w:r>
    </w:p>
    <w:p>
      <w:pPr>
        <w:numPr>
          <w:ilvl w:val="0"/>
          <w:numId w:val="41"/>
        </w:numPr>
        <w:spacing w:before="0" w:after="0" w:line="360"/>
        <w:ind w:right="0" w:left="810" w:hanging="45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понятия, классификация и компоненты</w:t>
      </w:r>
    </w:p>
    <w:p>
      <w:pPr>
        <w:spacing w:before="0" w:after="0" w:line="259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соревновательных нагрузок.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специальной литературы позволил выявить отсутствие единой трактовки при раскрытии содержательной стороны нагрузки. Так А. И. Кузнецов (1967) под нагрузкой предлагает понимать отношение объема проделанной работы к тренировочному времени. Пауль Кунат (1972), давая определение нагрузки, пишет, что это физическое и нервное напряжение, связанное с выполнением двигательных действий определенной мощности, частоты, длительности и плотности (интенсивности). И. Ю. Бондарчук (1988) считает, что под нагрузкой следует понимать, прежде всего, количественную меру воздействия физических упражнений. Причем, "нагрузка сопряжена и с расходованием рабочих потенциалов организма (энергетического, психологического) и с утомлением".</w:t>
      </w: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нагрузкой понимается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воздействие физических упражнений на организм спортсмена, вызывающее активную реакцию его функциональных систем (В.Н. Платонов, 1987).</w:t>
      </w: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Спортивная 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интенсивная, часто максимальная нагрузка, связанная с выполнением соревновательной деятельности. Проблема изучения спортивной нагрузки является сложной потому, что при исследовании ее мы изучаем непосредственно самого человека, т. е. те процессы, которые протекают в организме при выполнении различных нагрузок.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внутреннюю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внешнюю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стороны нагрузки.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Внешняя сторона нагрузки состоит из суммарного V работы и интенсивности ее выполнения.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V-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нагрузки (количественная сторона), может измеряться в часах, км, кол-ве упражнений и др.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Интенсивность (качественная сторона) характеризуется плотностью выполнения упр., темпе движений, скоростью преодоления дистанции.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Внутренняя сторона нагрузки. Наиболее верно нагрузка характеризуется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внутренне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т.е. по реакции спортсмена на выполненную работу (по степени утомления). Так же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своему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нагрузки в спорте, подразделяются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величине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восстановления 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малые (6ч.), средние (12-24 ч.), значительные (околопредельные) (24-48 ч.) и большие (предельные) (48-72 ч.)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современной классификации соревновательных нагрузок выделяют пять зон, имеющих определенные физиологические границы и педагогические критерии, широко распространенные в практике тренировки. Для квалифицированных спортсменов эти зоны имеют следующие характеристики представленные в таблице 1:</w:t>
      </w:r>
    </w:p>
    <w:p>
      <w:pPr>
        <w:spacing w:before="0" w:after="100" w:line="36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</w:t>
      </w:r>
    </w:p>
    <w:tbl>
      <w:tblPr/>
      <w:tblGrid>
        <w:gridCol w:w="1481"/>
        <w:gridCol w:w="2310"/>
        <w:gridCol w:w="1740"/>
        <w:gridCol w:w="1498"/>
        <w:gridCol w:w="1949"/>
        <w:gridCol w:w="1512"/>
      </w:tblGrid>
      <w:tr>
        <w:trPr>
          <w:trHeight w:val="1" w:hRule="atLeast"/>
          <w:jc w:val="left"/>
        </w:trPr>
        <w:tc>
          <w:tcPr>
            <w:tcW w:w="14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900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Направленность</w:t>
            </w:r>
          </w:p>
        </w:tc>
      </w:tr>
      <w:tr>
        <w:trPr>
          <w:trHeight w:val="1" w:hRule="atLeast"/>
          <w:jc w:val="left"/>
        </w:trPr>
        <w:tc>
          <w:tcPr>
            <w:tcW w:w="14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Аэробная (восстановительная)</w:t>
            </w: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Аэробная (развивающая)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Смешанная</w:t>
            </w:r>
          </w:p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Аэробно-анаэробная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Анаэробно-гликолитическая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Анаэробно-алактатная</w:t>
            </w:r>
          </w:p>
        </w:tc>
      </w:tr>
      <w:tr>
        <w:trPr>
          <w:trHeight w:val="1" w:hRule="atLeast"/>
          <w:jc w:val="left"/>
        </w:trPr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ЧСС, уд./мин.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140-145</w:t>
            </w: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160-175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180-185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180-200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190-220</w:t>
            </w:r>
          </w:p>
        </w:tc>
      </w:tr>
      <w:tr>
        <w:trPr>
          <w:trHeight w:val="1" w:hRule="atLeast"/>
          <w:jc w:val="left"/>
        </w:trPr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Потребление кислорода от МПК. %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40-70</w:t>
            </w: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60-90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80-100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100-80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Лактат, ммоль/л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8-10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10-20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100" w:line="36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зона — аэробная восстановительная. Ближайший тренировочный эффект нагрузок этой зоны связан с повышением ЧСС до 140—145 уд./мин. Лактат в крови находится на уровне покоя и не превышает 2 ммоль/л. Потребление кислорода достигает 40—70% от МПК. Обеспечение энергией происходит за счет окислении жиров (50% и более), мышечного гликогена и глюкозы крови. Работа в этой зоне может выполняться от нескольких минут до нескольких часов. Она стимулирует восстановительные процессы, жировой обмен в организме совершенствует аэробные способности (общую выносливость). Объем работы в этой зоне в разных видах спорта составляет от 20 до 30%.</w:t>
      </w: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зона — аэробная развивающая. Ближний тренировочный эффект нагрузок этой зоны связан с повышением ЧСС до 160— 175 уд./мин. Лактат в крови до 4 ммоль/л, потребление кислорода 60—90% от МПК. Обеспечение энергией происходит за счет окисления углеводов (мышечного гликогена и глюкозы) и в меньшей степени жиров. Объем работы в этой зоне в разных видах спорта составляет от 40 до 80%.</w:t>
      </w: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зона — смешанная аэробно-анаэробная. Ближний тренировочный эффект нагрузок в этой зоне связан с повышением ЧСС до 180—185 уд./мин, лактат в крови до 8—10 ммоль/л, потребление кислорода 80—100% от МПК. Обеспечение энергией происходит преимущественно за счет окисления углеводов (гликогена и глюкозы). Соревновательная и тренировочная деятельность в непрерывном режиме в этой зоне может продолжаться до 1,5—2 ч.</w:t>
      </w: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зона — анаэробно-гликолитическая. Ближайший тренировочный эффект нагрузок этой зоны связан с повышением лактата в крови от 10 до 20 ммоль/л. ЧСС становится менее информативной и находится на уровне 180—200 уд./мин. Потребление кислорода постепенно снижается от 100 до 80% от МПК. Обеспечение энергией происходит за счет углеводов (как с участием кислорода, так и анаэробным путем). Соревновательная деятельность в этой зоне продолжается от 20 с до 6—10 мин. </w:t>
      </w:r>
    </w:p>
    <w:p>
      <w:pPr>
        <w:spacing w:before="0" w:after="10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зона — анаэробно-алактатная. Ближний тренировочный эффект не связан с показателями ЧСС и лактата, так как работа кратковременная и не превышает 15—20 с в одном повторении. Суммарная тренировочная деятельность в этой зоне не превышает 120—150 с за одно тренировочное занятие. Она стимулирует воспитание скоростных, скоростно-силовых, максимально-силовых способностей. </w:t>
      </w: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Соревновательная нагрузка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обуславливается следующими компонентами: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характером упражнений;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интенсивностью работы при их выполнении;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объемом (продолжительностью) работы;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продолжительностью и характером интервалов отдыха между отдельными упражнениями;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д) числом повторений.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Соотношения этих показателей в тренировочных нагрузках определяют величину и направленность их воздействия на организм спортсмена.</w:t>
      </w:r>
    </w:p>
    <w:p>
      <w:pPr>
        <w:spacing w:before="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Оценка величины нагрузки и основные подходы к рассмотрению этой проблемы.</w:t>
      </w: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касается оценки величины нагрузки, то и здесь нет единства в понимании этого вопроса. Многие авторы склонны оценивать величину нагрузки, основываясь на изменениях различных физиологических показателей: частота сердечных сокращений, потребление кислорода, уровень энерготрат, показатели утомления, качество выполнения физических упражнений и многие другие показатели (Г. И. Кукушкин, 1953; Н. П. Ерменко, 1956; В. 3. Нагорный, 1969; В. П. Филин, 1964; М. Я. Горкин, 1966; Н. Д. Синани, 1967; Ю. К. и мн. др.), но никто из них не пытается выделить основные компоненты физической нагрузки и тем более охарактеризовать их. Данный вопрос является исключительно важным, так как лишь зная основные компоненты или составляющие физической нагрузки, можно определить ее характер и величину. </w:t>
      </w:r>
    </w:p>
    <w:p>
      <w:pPr>
        <w:spacing w:before="0" w:after="12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Исследуя содержание спортивной нагрузки, ранее было выделено, что основными компонентами, определяющими ее, являются: двигательное действие, отдых и способ их взаимосочетания. Именно эти компоненты (и никакие другие) в полной мере раскрывают содержательную сторону физической нагрузки спортсмена по которым можно определить величину нагрузки.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Рассматривая проблему нагрузки как диалектическое единство внешней и внутренней сторон, для удобства теоретического анализа возможно исследование физической и функциональную нагрузки раздельно. В этом случае можно проанализировать ее составляющие, их взаимосвязь и другие моменты [1]. Во всех же остальных случаях исследовать одну сторону спортивной нагрузки без другой нецелесообразно. Особенно это касается функциональной нагрузки (внутренней стороны). Дело в том, что между внешней и внутренней сторонами спортивной нагрузки существует жесткая причинно-следственная связь. Внешняя сторона — физическая нагрузка — выступает всегда как причина по отношению к нагрузке функциональной. Поэтому изучать следствие, не исследуя саму причину мягко говоря, — неверно, не говоря уже о том, что такое исследование совершенно лишено здравого смысла, так как не приводит к практически значимым выводам. [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9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] Так, например, при определенных физиологических, биохимических и прочих исследованиях спортсменов были выявлены достоверные сдвиги в тех или иных системах организма, обнаружилось определенное, даже довольно интересное взаимосочетание (или взаимосодействие) процессов расходования и восстановления "рабочих потенциалов", однако ценность данных исследований ничтожно мала, так как отсутствует достоверная информация о той физической нагрузке, которая была выполнена спортсменом и вследствие чего были получены определенные сдвиги в организме.[4] Что касается самой причины или внешней стороны спортивной нагрузки (а именно нагрузки физической), то если ее исследовать как изолированное явление, в этом случае мы сможем получить определенную информацию о величине физической нагрузки и даже о том, к какому результату это привело. Однако, какие изменения происходили в органах и системах при ее выполнении, остается неизвестным, то есть не ясно, как и за счет чего организм спортсмена справился с физической нагрузкой.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Таким образом, на вопрос, можно ли исследовать каждую из сторон спортивной нагрузки в отдельности, можно ответить только отрицательно. А именно: физическую нагрузку спортсмена невозможно изучать в отдельности от тех сдвигов, которые происходят под ее влиянием в организме, ни тем более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функциональную нагрузку[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,5].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20" w:hanging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Проявление спортивной нагрузки в гандболе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качестве примера исследования мы использовали опубликованные в 2016 году Информационный материалы по гандболу под редакцией Тхорева В.И. Исследованию подвергалась игровая деятельность высококвалифицированных гандболистов на соревнованиях двух уровней: национальном и международном. Для определения средней и максимальной частоты сердечных сокращений (ЧСС) использовалась модель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«Polar S810i».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Величина нагрузки определялась условными единицами, баллами, которые представляют собой произведение времени выполнения на его пульсовую стоимость в минутах. Нагрузка начинала оцениваться с пульса 90 уд/мин.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Полученные результаты (табл.2) свидетельствуют о том, что в формате соревновательного упражнения национального уровня среднее значение ЧСС у линейных игроков колеблется от 143,5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±3,1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уд/мин. Командный показатель равен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160,1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±2,1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уд/мин.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Таблица 2</w:t>
      </w:r>
    </w:p>
    <w:tbl>
      <w:tblPr/>
      <w:tblGrid>
        <w:gridCol w:w="2031"/>
        <w:gridCol w:w="817"/>
        <w:gridCol w:w="1648"/>
        <w:gridCol w:w="1337"/>
        <w:gridCol w:w="1500"/>
        <w:gridCol w:w="1442"/>
        <w:gridCol w:w="1432"/>
      </w:tblGrid>
      <w:tr>
        <w:trPr>
          <w:trHeight w:val="1" w:hRule="atLeast"/>
          <w:jc w:val="left"/>
        </w:trPr>
        <w:tc>
          <w:tcPr>
            <w:tcW w:w="20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Показатели</w:t>
            </w:r>
          </w:p>
        </w:tc>
        <w:tc>
          <w:tcPr>
            <w:tcW w:w="674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Игровые амплуа</w:t>
            </w:r>
          </w:p>
        </w:tc>
        <w:tc>
          <w:tcPr>
            <w:tcW w:w="1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Команда</w:t>
            </w:r>
          </w:p>
        </w:tc>
      </w:tr>
      <w:tr>
        <w:trPr>
          <w:trHeight w:val="1" w:hRule="atLeast"/>
          <w:jc w:val="left"/>
        </w:trPr>
        <w:tc>
          <w:tcPr>
            <w:tcW w:w="20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Уро-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вень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Крайние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Полу-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средние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Розыг- рывающие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Линейные</w:t>
            </w:r>
          </w:p>
        </w:tc>
        <w:tc>
          <w:tcPr>
            <w:tcW w:w="1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Среднее ЧСС (уд/мин)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171,9±2,2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165,3±2,0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162,7±1,1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143,5±3,1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160,1±2,1</w:t>
            </w:r>
          </w:p>
        </w:tc>
      </w:tr>
      <w:tr>
        <w:trPr>
          <w:trHeight w:val="1" w:hRule="atLeast"/>
          <w:jc w:val="left"/>
        </w:trPr>
        <w:tc>
          <w:tcPr>
            <w:tcW w:w="20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175,6±2,4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168,6±1,8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167,4±1,3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146,7±3,3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164,6±2,2</w:t>
            </w:r>
          </w:p>
        </w:tc>
      </w:tr>
      <w:tr>
        <w:trPr>
          <w:trHeight w:val="1" w:hRule="atLeast"/>
          <w:jc w:val="left"/>
        </w:trPr>
        <w:tc>
          <w:tcPr>
            <w:tcW w:w="20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Энергозатраты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баллы)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998,2±20,6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705,1±29,0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701,4±8,1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525,3±16,6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732,5±18,6</w:t>
            </w:r>
          </w:p>
        </w:tc>
      </w:tr>
      <w:tr>
        <w:trPr>
          <w:trHeight w:val="1" w:hRule="atLeast"/>
          <w:jc w:val="left"/>
        </w:trPr>
        <w:tc>
          <w:tcPr>
            <w:tcW w:w="20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1097,9±25,0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772,6±23,2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750,3±12,3</w:t>
            </w:r>
          </w:p>
        </w:tc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596,4±10,7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804,3±17,8</w:t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Примечание: 1-национальный, 2-международный.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соревнованиях международного уровня наблюдается общая для всех гандболистов амплуа тенденция роста среднего значения пульса, который в среднем по команде достигает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164,6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±2,2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уд/мин. Среднее значение ЧСС в процессе игровой деятельности крайних игроков значительно выше, чем у полусредних, разыгрывающих и линейных. Это видно из таблицы как у игроков национального уровня, так и международного.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Балловая стоимость энергетических затрат в ходе соревновательного упражнения национального уровня находится в диапазоне 525,3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±16,6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линейных, до 998,2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±20,6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у крайних, составляя в среднем у полевых игроков 732,5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±18,6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баллов. С ростом уровня соревнований наблюдается тенденция роста энергетической стоимости.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рамках данного проведенного исследования обнаружено, что повышение значимости соревнований влечет увеличение интенсивности и величины выполняемой гандболистами нагрузки.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ходе проделанной работы были изучены основные понятия спортивной нагрузки. Определены основные подходы, используемые специалистами при рассмотрении данной проблемы.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Рассмотрены компоненты спортивной нагрузки, а также необходимость помнить о взаимосвязи этих, компонентов как в структуре самой спортивно или функциональной нагрузки, так и в их взаимодействии между собой. Входе анализа источников литературы было определено, что многочисленные научные исследования без рассмотрения изучаемых компонентов в их взаимосвязи и взаимозависимости в этой сложной системе будут бессмысленны и отодвинут решение данной проблемы еще на многие годы.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Может быть поэтому, несмотря на то, что данная проблема изучается более чем полвека, она до настоящего времени не решена. Сложность решения этой проблемы связана и с тем, что мы изучаем самое сложное творение природы — человека. Причем, в данном случае — человека в спорте высших достижений, то есть находящегося в течение многих лет под постоянным целенаправленным воздействием определенных избирательно воздействующих и значительных по величине физических нагрузок.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Поэтому, изучая спортивную нагрузку, нужно всегда помнить о двойственности ее структуры т. е. спортивной и функциональной нагрузках. Двойственный характер спортивной нагрузки не случаен, эта двойственность —двойственность самого человека, где социальное проявление человека всегда тесно связано с биологической его природой.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Бальсевич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В.К. От высоких информационных технологий —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победам / В.К. Бальсевич // Теория и практика физ. культуры. — 2000.- № 10.-С. 56.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Ермолаев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Ю.А. Возрастная физиология. /Ю.В. Ермолаев. М.: Спорт Академия Пресс, 2001. - 444 с.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Железняк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Ю.Д. Спортивные игры: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мастерства: учеб. для студ. высш. учеб. заведений / Ю.Д. Железняк, Ю.М.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В.П. Савин и др. М.: Академия, 2002. - 520 с.: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Исаев, А.П. Адаптация человека к спортивной деятельности / А.П. Исаев, С.А.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Личагина, Р.У. Гаттаров и др. // Ростов-на-Дону: Изд-во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РГПУ, 2004. 236 с. 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Исаков, В.Л. Мониторинг физического здоровья учащихся как фактор повышения эффективности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В.Л. Исаков // Физическая культура: воспитание, образование, тренировка. — 2006. №5. - С. 61.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30373B"/>
          <w:spacing w:val="0"/>
          <w:position w:val="0"/>
          <w:sz w:val="28"/>
          <w:shd w:fill="FFFFFF" w:val="clear"/>
        </w:rPr>
        <w:t xml:space="preserve">Лях В.И. Двигательные способности школьников: основы теории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методики развития. - М.: Терра - Спорт, 2000.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Матвеев Л.П. Теория и методика физической культуры: Учебник для институтов физической культуры. - М., 1991.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Неминущий Г.П. Дукальская А.В. Функциональная нагрузка: ее сущность, структура, общая характеристика и методология исследования. Ростов-на-Дону, - 1996. С.-25.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Неминущий Г.П. Дукальская А.В. Спортивная нагрузка как объект теоретического исследования. Ростов-на-Дону, - 1996. – С. 132.</w:t>
      </w: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748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 «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Внешние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и 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«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внутренние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показатели нагрузки взаимосвязаны между собой: увеличение объема и интенсивности работы приводит к увеличению сдвигов в функциональном состоянии организма, к развитию и углублению процессов утомления.</w:t>
      </w:r>
      <w:r>
        <w:rPr>
          <w:rFonts w:ascii="Verdana" w:hAnsi="Verdana" w:cs="Verdana" w:eastAsia="Verdana"/>
          <w:color w:val="242C2E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5">
    <w:abstractNumId w:val="24"/>
  </w:num>
  <w:num w:numId="37">
    <w:abstractNumId w:val="18"/>
  </w:num>
  <w:num w:numId="39">
    <w:abstractNumId w:val="12"/>
  </w:num>
  <w:num w:numId="41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